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718"/>
        <w:gridCol w:w="7308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ACT-ON RETAIL MANAGEMENT CAREERS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br/>
              <w:t>(Alaska-California-Texas-Oregon)</w:t>
            </w:r>
            <w:r w:rsidRPr="00F76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Tyler Junior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PO Box 9020, Tyler, TX 75711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Peggy Meathenia, Grant Manager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pmea@tjc.edu</w:t>
              </w:r>
            </w:hyperlink>
            <w:r w:rsidRPr="00F76BA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 w:rsidRPr="00F76BA5">
              <w:rPr>
                <w:rFonts w:ascii="Arial" w:hAnsi="Arial" w:cs="Arial"/>
                <w:sz w:val="20"/>
                <w:szCs w:val="20"/>
              </w:rPr>
              <w:t>903-510-3052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Retail Grocery </w:t>
            </w:r>
          </w:p>
        </w:tc>
      </w:tr>
    </w:tbl>
    <w:p w:rsidR="00086E01" w:rsidRPr="00014997" w:rsidRDefault="00086E01" w:rsidP="00086E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national </w:t>
      </w:r>
      <w:r w:rsidRPr="00F76BA5">
        <w:rPr>
          <w:rFonts w:ascii="Arial" w:hAnsi="Arial" w:cs="Arial"/>
          <w:sz w:val="20"/>
          <w:szCs w:val="20"/>
        </w:rPr>
        <w:t xml:space="preserve">consortium includes one college in each of the four states, with </w:t>
      </w:r>
      <w:r>
        <w:rPr>
          <w:rFonts w:ascii="Arial" w:hAnsi="Arial" w:cs="Arial"/>
          <w:sz w:val="20"/>
          <w:szCs w:val="20"/>
        </w:rPr>
        <w:t>a</w:t>
      </w:r>
      <w:r w:rsidRPr="00F76BA5">
        <w:rPr>
          <w:rFonts w:ascii="Arial" w:hAnsi="Arial" w:cs="Arial"/>
          <w:sz w:val="20"/>
          <w:szCs w:val="20"/>
        </w:rPr>
        <w:t xml:space="preserve"> focus on enhancing and expanding the Retail Management Certificate (RMC) program.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Redesign and revalidation of a standardized curriculum;</w:t>
      </w:r>
    </w:p>
    <w:p w:rsidR="00086E01" w:rsidRPr="00F76BA5" w:rsidRDefault="00086E01" w:rsidP="00086E0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standardized credit-bearing e-portfolio and assessment process for determining Credit for Prior Learning;</w:t>
      </w:r>
    </w:p>
    <w:p w:rsidR="00086E01" w:rsidRDefault="00086E01" w:rsidP="00086E0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Digital delivery of material for faculty development and student courses.</w:t>
      </w:r>
    </w:p>
    <w:p w:rsidR="00086E01" w:rsidRP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Strategies</w:t>
      </w:r>
      <w:r w:rsidRPr="00F76BA5">
        <w:rPr>
          <w:rFonts w:ascii="Arial" w:hAnsi="Arial" w:cs="Arial"/>
          <w:b/>
          <w:sz w:val="20"/>
          <w:szCs w:val="20"/>
        </w:rPr>
        <w:t xml:space="preserve"> to be Scaled:</w:t>
      </w:r>
    </w:p>
    <w:p w:rsidR="00086E01" w:rsidRPr="00F76BA5" w:rsidRDefault="00086E01" w:rsidP="00086E01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Instructional and assessment components of the RMC to other community colleges, including CPL/PLA and e-portfolio standards;</w:t>
      </w:r>
    </w:p>
    <w:p w:rsidR="00086E01" w:rsidRPr="00F76BA5" w:rsidRDefault="00086E01" w:rsidP="00086E01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Training materials for faculty, career coaches and workforce personnel.</w:t>
      </w:r>
    </w:p>
    <w:p w:rsidR="00086E01" w:rsidRDefault="00086E01" w:rsidP="00086E01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718"/>
        <w:gridCol w:w="7308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bCs/>
                <w:sz w:val="20"/>
                <w:szCs w:val="20"/>
              </w:rPr>
              <w:t>ARIZONA SUN CORRIDOR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GET INTO ENERGY (ASC-GIEC)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Estrella Mountain Community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3000 N. Dysart Road, Avondale, AZ  85392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Clay Goodman, Vice President of Occupational Education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Clay.goodman@3strellamountain.edu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623-935-8456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 xml:space="preserve">Energy and Mining 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The consortium includes five colleges </w:t>
      </w:r>
      <w:r>
        <w:rPr>
          <w:rFonts w:ascii="Arial" w:hAnsi="Arial" w:cs="Arial"/>
          <w:sz w:val="20"/>
          <w:szCs w:val="20"/>
        </w:rPr>
        <w:t xml:space="preserve">in </w:t>
      </w:r>
      <w:r w:rsidRPr="00F76BA5">
        <w:rPr>
          <w:rFonts w:ascii="Arial" w:hAnsi="Arial" w:cs="Arial"/>
          <w:sz w:val="20"/>
          <w:szCs w:val="20"/>
        </w:rPr>
        <w:t>Arizona, with the focus on three strategies to train workers for employment in energy and mining:</w:t>
      </w:r>
    </w:p>
    <w:p w:rsidR="00086E01" w:rsidRPr="00F76BA5" w:rsidRDefault="00086E01" w:rsidP="00086E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Energy Industry Competency Model, which features defined competencies and industry-recognized credentials; common curriculum, including a foundational course; new articulation agreement with Arizona State University.</w:t>
      </w:r>
    </w:p>
    <w:p w:rsidR="00086E01" w:rsidRPr="00F76BA5" w:rsidRDefault="00086E01" w:rsidP="00086E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Online and technology-enabled learning environments</w:t>
      </w:r>
    </w:p>
    <w:p w:rsidR="00086E01" w:rsidRDefault="00086E01" w:rsidP="00086E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Supply and Demand Model to accurately predict job openings and guide the advising of students</w:t>
      </w:r>
    </w:p>
    <w:p w:rsidR="00086E01" w:rsidRPr="00F76BA5" w:rsidRDefault="00086E01" w:rsidP="00086E01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Strategies</w:t>
      </w:r>
      <w:r w:rsidRPr="00F76BA5">
        <w:rPr>
          <w:rFonts w:ascii="Arial" w:hAnsi="Arial" w:cs="Arial"/>
          <w:b/>
          <w:sz w:val="20"/>
          <w:szCs w:val="20"/>
        </w:rPr>
        <w:t xml:space="preserve"> to be Scaled:</w:t>
      </w:r>
    </w:p>
    <w:p w:rsidR="00086E01" w:rsidRDefault="00086E01" w:rsidP="00086E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Energy Industry Model to be expanded to other industries within Arizona, possib</w:t>
      </w:r>
      <w:r>
        <w:rPr>
          <w:rFonts w:ascii="Arial" w:hAnsi="Arial" w:cs="Arial"/>
          <w:sz w:val="20"/>
          <w:szCs w:val="20"/>
        </w:rPr>
        <w:t xml:space="preserve">ly </w:t>
      </w:r>
      <w:r w:rsidRPr="00F76BA5">
        <w:rPr>
          <w:rFonts w:ascii="Arial" w:hAnsi="Arial" w:cs="Arial"/>
          <w:sz w:val="20"/>
          <w:szCs w:val="20"/>
        </w:rPr>
        <w:t xml:space="preserve">construction, manufacturing, and information technology.  Foundational skills (Tiers 1-3 in model) could be adopted immediately, with competencies for other tiers 4-8 built as career opportunities in </w:t>
      </w:r>
      <w:r>
        <w:rPr>
          <w:rFonts w:ascii="Arial" w:hAnsi="Arial" w:cs="Arial"/>
          <w:sz w:val="20"/>
          <w:szCs w:val="20"/>
        </w:rPr>
        <w:t xml:space="preserve">additional </w:t>
      </w:r>
      <w:r w:rsidRPr="00F76BA5">
        <w:rPr>
          <w:rFonts w:ascii="Arial" w:hAnsi="Arial" w:cs="Arial"/>
          <w:sz w:val="20"/>
          <w:szCs w:val="20"/>
        </w:rPr>
        <w:t>industries are identified.</w:t>
      </w:r>
    </w:p>
    <w:p w:rsidR="00086E01" w:rsidRPr="008F2F70" w:rsidRDefault="00086E01" w:rsidP="00086E0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bCs/>
          <w:sz w:val="20"/>
          <w:szCs w:val="20"/>
        </w:rPr>
        <w:sectPr w:rsidR="00086E01" w:rsidRPr="008F2F70" w:rsidSect="00086E01">
          <w:headerReference w:type="default" r:id="rId10"/>
          <w:footerReference w:type="default" r:id="rId11"/>
          <w:pgSz w:w="12240" w:h="15840" w:code="1"/>
          <w:pgMar w:top="187" w:right="1008" w:bottom="1152" w:left="1008" w:header="720" w:footer="432" w:gutter="0"/>
          <w:cols w:space="720"/>
          <w:docGrid w:linePitch="360"/>
        </w:sectPr>
      </w:pPr>
      <w:r w:rsidRPr="008F2F70">
        <w:rPr>
          <w:rFonts w:ascii="Arial" w:hAnsi="Arial" w:cs="Arial"/>
          <w:sz w:val="20"/>
          <w:szCs w:val="20"/>
        </w:rPr>
        <w:t>Adoption of a standard Supply and Demand Model across the state to facilitate the identification and development of additional pathways and degrees, with the result of creating a pool of highly qualified, job ready candidates.</w:t>
      </w:r>
      <w:r w:rsidRPr="008F2F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6E01" w:rsidRPr="007E0DC4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20"/>
        <w:gridCol w:w="6956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ATC TIMES THREE (ATCX3)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Athens Technical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800 Hwy 29, Athens, GA  30601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Dr. Daniel J. Smith, Vice President of Institutional Effectiveness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dsmith@athenstech.edu</w:t>
              </w:r>
            </w:hyperlink>
            <w:r w:rsidRPr="00F76BA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 w:rsidRPr="00F76BA5">
              <w:rPr>
                <w:rFonts w:ascii="Arial" w:hAnsi="Arial" w:cs="Arial"/>
                <w:sz w:val="20"/>
                <w:szCs w:val="20"/>
              </w:rPr>
              <w:t>706 355-5085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Engineering Technology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The consortium includes three colleges in Georgia, with </w:t>
      </w:r>
      <w:r>
        <w:rPr>
          <w:rFonts w:ascii="Arial" w:hAnsi="Arial" w:cs="Arial"/>
          <w:sz w:val="20"/>
          <w:szCs w:val="20"/>
        </w:rPr>
        <w:t>a</w:t>
      </w:r>
      <w:r w:rsidRPr="00F76BA5">
        <w:rPr>
          <w:rFonts w:ascii="Arial" w:hAnsi="Arial" w:cs="Arial"/>
          <w:sz w:val="20"/>
          <w:szCs w:val="20"/>
        </w:rPr>
        <w:t xml:space="preserve"> focus on increasing access to and completion of associate degrees in engineering technology.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Launch and expand two programs – Engineering Technology and Industrial Systems Technology;</w:t>
      </w:r>
    </w:p>
    <w:p w:rsidR="00086E01" w:rsidRPr="00F76BA5" w:rsidRDefault="00086E01" w:rsidP="00086E0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Design a Prior Learning Assessment (PLA) plan that will be used across the system.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Pr="00F76BA5" w:rsidRDefault="00086E01" w:rsidP="00086E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A Prior Learning Assessment (PLA) plan.</w:t>
      </w:r>
    </w:p>
    <w:p w:rsidR="00086E01" w:rsidRPr="00F76BA5" w:rsidRDefault="00086E01" w:rsidP="00086E01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22"/>
        <w:gridCol w:w="6954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COMMUNITY COLLEGE CONSORTIUM FOR BIOSCIENCE CREDENTIALS (C3BC)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Forsyth Technical Community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2100 Silas Creek Parkway, Winston-Salem, NC  27103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Russ Read, Executive Director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National Center for the Biotechnology Workforce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rread@forsythtech.edu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336 734-7651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Bioscience 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C3BC </w:t>
      </w:r>
      <w:r w:rsidRPr="00F76BA5">
        <w:rPr>
          <w:rFonts w:ascii="Arial" w:hAnsi="Arial" w:cs="Arial"/>
          <w:sz w:val="20"/>
          <w:szCs w:val="20"/>
        </w:rPr>
        <w:t>consortium includes 12 colleges from across the country, with its focus on meeting the workforce needs for bioscience training.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standardized core skills across the biosciences subsectors;</w:t>
      </w:r>
    </w:p>
    <w:p w:rsidR="00086E01" w:rsidRPr="00F76BA5" w:rsidRDefault="00086E01" w:rsidP="00086E0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Introduction of stackable, portable, industry-recognized credentials.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Default="00086E01" w:rsidP="00086E0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Standardized core skills across the bioscience subsectors with accompanying industry-recognized credentials. </w:t>
      </w:r>
    </w:p>
    <w:p w:rsidR="00086E01" w:rsidRDefault="0008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13"/>
        <w:gridCol w:w="6963"/>
      </w:tblGrid>
      <w:tr w:rsidR="00086E01" w:rsidRPr="00F76BA5" w:rsidTr="00086E01">
        <w:trPr>
          <w:trHeight w:val="576"/>
          <w:jc w:val="center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TRANSFORMING RESOURC</w:t>
            </w:r>
            <w:r>
              <w:rPr>
                <w:rFonts w:ascii="Arial" w:hAnsi="Arial" w:cs="Arial"/>
                <w:b/>
                <w:sz w:val="20"/>
                <w:szCs w:val="20"/>
              </w:rPr>
              <w:t>ES FOR ADVANCED AND EMPLOYMENT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br/>
              <w:t xml:space="preserve">IN ADVANCED MANUFACTURING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lorida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 xml:space="preserve"> TRADE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86E01" w:rsidRPr="00F76BA5" w:rsidTr="00086E01">
        <w:trPr>
          <w:trHeight w:val="700"/>
          <w:jc w:val="center"/>
        </w:trPr>
        <w:tc>
          <w:tcPr>
            <w:tcW w:w="26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6963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St. Petersburg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P.O. Box 13489, St. Petersburg, FL  33733-3489</w:t>
            </w:r>
          </w:p>
        </w:tc>
      </w:tr>
      <w:tr w:rsidR="00086E01" w:rsidRPr="00F76BA5" w:rsidTr="00086E01">
        <w:trPr>
          <w:trHeight w:val="873"/>
          <w:jc w:val="center"/>
        </w:trPr>
        <w:tc>
          <w:tcPr>
            <w:tcW w:w="26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6963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Dr. Gary Graham, Florida TRADE Director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graham.gary@spcollege.edu</w:t>
              </w:r>
            </w:hyperlink>
          </w:p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727 791-2478</w:t>
            </w:r>
          </w:p>
        </w:tc>
      </w:tr>
      <w:tr w:rsidR="00086E01" w:rsidRPr="00F76BA5" w:rsidTr="00086E01">
        <w:trPr>
          <w:jc w:val="center"/>
        </w:trPr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Advanced Manufacturing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The consortium includes 12 colleges in Florida, with its focus on aligning resources and increasing access to training in advanced manufacturing.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Utilize the Manufacturing Skill Certification System to deliver standardized competency-based credential training;</w:t>
      </w:r>
    </w:p>
    <w:p w:rsidR="00086E01" w:rsidRPr="00F76BA5" w:rsidRDefault="00086E01" w:rsidP="00086E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Implement the Right Skills Now program to provide accelerated training program;</w:t>
      </w:r>
    </w:p>
    <w:p w:rsidR="00086E01" w:rsidRPr="00F76BA5" w:rsidRDefault="00086E01" w:rsidP="00086E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Incorporate the National Training and Education Resource (NTER) as a shared content online delivery system.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Pr="00F76BA5" w:rsidRDefault="00086E01" w:rsidP="00086E0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Establishing a career pathway infrastructure that is transferable and portable utilizing the standardized curriculum.</w:t>
      </w:r>
    </w:p>
    <w:p w:rsidR="00086E01" w:rsidRPr="00F76BA5" w:rsidRDefault="00086E01" w:rsidP="00086E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18"/>
        <w:gridCol w:w="6958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ILLINOIS NETWORK FOR ADVANCED MANUFACTURING (INAM)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Harper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1200 West Algonquin Road, Palatine, IL  60067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Rebecca Lake, Grant Director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rlake@Harpercollege.edu</w:t>
              </w:r>
            </w:hyperlink>
            <w:r w:rsidRPr="00F76BA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 w:rsidRPr="00F76BA5">
              <w:rPr>
                <w:rFonts w:ascii="Arial" w:hAnsi="Arial" w:cs="Arial"/>
                <w:sz w:val="20"/>
                <w:szCs w:val="20"/>
              </w:rPr>
              <w:t>847 925-6633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Advanced Manufacturing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The consortium includes 21 colleges </w:t>
      </w:r>
      <w:r>
        <w:rPr>
          <w:rFonts w:ascii="Arial" w:hAnsi="Arial" w:cs="Arial"/>
          <w:sz w:val="20"/>
          <w:szCs w:val="20"/>
        </w:rPr>
        <w:t>in</w:t>
      </w:r>
      <w:r w:rsidRPr="00F76BA5">
        <w:rPr>
          <w:rFonts w:ascii="Arial" w:hAnsi="Arial" w:cs="Arial"/>
          <w:sz w:val="20"/>
          <w:szCs w:val="20"/>
        </w:rPr>
        <w:t xml:space="preserve"> Illinois, with its focus on expanding and improving programs leading to certificates or associate degrees in advanced manufacturing (Earn and Learn Advanced Manufacturing Career Model).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Prior Learning Assessment (PLA) process;</w:t>
      </w:r>
    </w:p>
    <w:p w:rsidR="00086E01" w:rsidRPr="00F76BA5" w:rsidRDefault="00086E01" w:rsidP="00086E0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and implementation of Earn and Learn Model.</w:t>
      </w:r>
    </w:p>
    <w:p w:rsidR="00086E01" w:rsidRPr="00F76BA5" w:rsidRDefault="00086E01" w:rsidP="00086E01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Default="00086E01" w:rsidP="00086E0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Formation of high-functioning community college consortium through the implementation of Earn and Learn Program.</w:t>
      </w:r>
    </w:p>
    <w:p w:rsidR="00086E01" w:rsidRDefault="0008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6E01" w:rsidRPr="00F76BA5" w:rsidRDefault="00086E01" w:rsidP="00086E01">
      <w:pPr>
        <w:tabs>
          <w:tab w:val="left" w:pos="907"/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21"/>
        <w:gridCol w:w="6955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br w:type="page"/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MAKING THE FUTURE: THE WISCONSIN STRATEGY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Northeast Wisconsin Technical College (NWTC)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2740 West Mason Street, Green Bay, WI  54307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Anne Kamps, Dean, Learning Solutions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anne.kamps@nwtc.edu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920 498-6367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Advanced Manufacturing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The consortium includes all 16 colleges in Wisconsin, with its focus on creating an over-arching statewide system.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standardized Credit for Prior Learning process, utilizing established course competencies;</w:t>
      </w:r>
    </w:p>
    <w:p w:rsidR="00086E01" w:rsidRPr="00F76BA5" w:rsidRDefault="00086E01" w:rsidP="00086E01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Incorporate technology tools, including the Standard Timing Model (STM) for assessment, an online case management system, and mobile learning “flashcards”.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 s</w:t>
      </w:r>
      <w:r w:rsidRPr="00F76BA5">
        <w:rPr>
          <w:rFonts w:ascii="Arial" w:hAnsi="Arial" w:cs="Arial"/>
          <w:sz w:val="20"/>
          <w:szCs w:val="20"/>
        </w:rPr>
        <w:t>tandardized system for assessing/awarding credit for prior learning.</w:t>
      </w:r>
    </w:p>
    <w:p w:rsidR="00086E01" w:rsidRPr="00F76BA5" w:rsidRDefault="00086E01" w:rsidP="00086E0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</w:p>
    <w:p w:rsidR="00086E01" w:rsidRPr="00F76BA5" w:rsidRDefault="00086E01" w:rsidP="00086E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12"/>
        <w:gridCol w:w="6964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MoManufacturingWINS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St. Louis Community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200 E. McCarty Street, Suite 100, Jefferson City, MO 65101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Dawn Busick, Statewide TAACCCT Grant Director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dawn.busick@mccatoday.org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573 634-8787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Advanced Manufacturing</w:t>
            </w:r>
          </w:p>
        </w:tc>
      </w:tr>
    </w:tbl>
    <w:p w:rsidR="00086E01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76BA5">
        <w:rPr>
          <w:rFonts w:ascii="Arial" w:hAnsi="Arial" w:cs="Arial"/>
          <w:sz w:val="20"/>
          <w:szCs w:val="20"/>
        </w:rPr>
        <w:t>he consortium includes nine colleges in Missouri, with its focus on implementing a certification training program endorsed by the National Association of Manufacturers (NAM).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certificate programs aligned to industry credentials;</w:t>
      </w:r>
    </w:p>
    <w:p w:rsidR="00086E01" w:rsidRPr="00F76BA5" w:rsidRDefault="00086E01" w:rsidP="00086E0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new online/lab simulations courses;</w:t>
      </w:r>
    </w:p>
    <w:p w:rsidR="00086E01" w:rsidRPr="00F76BA5" w:rsidRDefault="00086E01" w:rsidP="00086E0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intrusive student support services.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Pr="00F76BA5" w:rsidRDefault="00086E01" w:rsidP="00086E0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Intrusive student support program, from recruitment through career advising. </w:t>
      </w:r>
    </w:p>
    <w:p w:rsidR="00086E01" w:rsidRPr="00F76BA5" w:rsidRDefault="00086E01" w:rsidP="00086E01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</w:p>
    <w:p w:rsidR="00086E01" w:rsidRDefault="00086E01" w:rsidP="00086E01">
      <w:pPr>
        <w:spacing w:after="0"/>
      </w:pPr>
      <w:r w:rsidRPr="00F76BA5">
        <w:br w:type="page"/>
      </w:r>
    </w:p>
    <w:p w:rsidR="00086E01" w:rsidRPr="00F76BA5" w:rsidRDefault="00086E01" w:rsidP="00086E01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26"/>
        <w:gridCol w:w="6950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RURAL HAWAII GRANT CONSORTIUM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University of Hawaii Maui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310 W. Kaahumanu Avenue, Kahului, HI  96732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Dr. Clyde Sakamoto,  Chancellor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clydes@hawaii.edu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808 984-3636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</w:tr>
    </w:tbl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The consortium includes three colleges within the state, with its focus on the training needs of small diverse populations.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High Definition distance education with technical, trade and scientific lab skills;</w:t>
      </w:r>
    </w:p>
    <w:p w:rsidR="00086E01" w:rsidRPr="00F76BA5" w:rsidRDefault="00086E01" w:rsidP="00086E0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The Food Innovation Center on one campus;</w:t>
      </w:r>
    </w:p>
    <w:p w:rsidR="00086E01" w:rsidRPr="00F76BA5" w:rsidRDefault="00086E01" w:rsidP="00086E0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Electric Vehicle maintenance training program.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Strategies</w:t>
      </w:r>
      <w:r w:rsidRPr="00F76BA5">
        <w:rPr>
          <w:rFonts w:ascii="Arial" w:hAnsi="Arial" w:cs="Arial"/>
          <w:b/>
          <w:sz w:val="20"/>
          <w:szCs w:val="20"/>
        </w:rPr>
        <w:t xml:space="preserve"> to be Scaled:</w:t>
      </w:r>
    </w:p>
    <w:p w:rsidR="00086E01" w:rsidRPr="00F76BA5" w:rsidRDefault="00086E01" w:rsidP="00086E0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Distance Education model for providing training to students in rural and remote communities;</w:t>
      </w:r>
    </w:p>
    <w:p w:rsidR="00086E01" w:rsidRPr="00F76BA5" w:rsidRDefault="00086E01" w:rsidP="00086E0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Food Innovation Center program formatted for implementation in other rural communities.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Default="00086E01" w:rsidP="00086E01">
      <w:pPr>
        <w:spacing w:after="0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27"/>
        <w:gridCol w:w="6949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ShaleNET U.S.</w:t>
            </w:r>
          </w:p>
          <w:p w:rsidR="00086E01" w:rsidRPr="00EE14EC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4EC">
              <w:rPr>
                <w:rFonts w:ascii="Arial" w:hAnsi="Arial" w:cs="Arial"/>
                <w:b/>
                <w:sz w:val="20"/>
                <w:szCs w:val="20"/>
              </w:rPr>
              <w:t>(Pennsylvania, Texas, Ohio)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Pennsylvania College of Technology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One College Avenue, Williamsport, PA  17701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Alice Schuster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aschuste@pct.edu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570 326-3761 x7561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And Natural Gas</w:t>
            </w:r>
          </w:p>
        </w:tc>
      </w:tr>
    </w:tbl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The consortium includes four colleges in three states, with its focus on industry skill needs in exploration and production, transportation and refining.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Implementation of standardized curriculum;</w:t>
      </w:r>
    </w:p>
    <w:p w:rsidR="00086E01" w:rsidRPr="00F76BA5" w:rsidRDefault="00086E01" w:rsidP="00086E01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Blended instructional environment, combining classroom and online instruction (Virtual Collaborative Learning Environment).</w:t>
      </w:r>
    </w:p>
    <w:p w:rsidR="00086E01" w:rsidRPr="00F76BA5" w:rsidRDefault="00086E01" w:rsidP="00086E01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Web-based platform, the Talent Match System to help with recruitment and placement.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BA5">
        <w:rPr>
          <w:rFonts w:ascii="Arial" w:hAnsi="Arial" w:cs="Arial"/>
          <w:b/>
          <w:sz w:val="20"/>
          <w:szCs w:val="20"/>
        </w:rPr>
        <w:t>Strategy to be Scaled:</w:t>
      </w:r>
    </w:p>
    <w:p w:rsidR="00086E01" w:rsidRDefault="00086E01" w:rsidP="00086E0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One Stop Interface which includes the web-based Talent Match System and a Case Manager.</w:t>
      </w:r>
    </w:p>
    <w:p w:rsidR="00086E01" w:rsidRDefault="00086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6E01" w:rsidRPr="00F76BA5" w:rsidRDefault="00086E01" w:rsidP="00086E01">
      <w:pPr>
        <w:tabs>
          <w:tab w:val="left" w:pos="907"/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618"/>
        <w:gridCol w:w="6958"/>
      </w:tblGrid>
      <w:tr w:rsidR="00086E01" w:rsidRPr="00F76BA5" w:rsidTr="00B1468A">
        <w:trPr>
          <w:trHeight w:val="576"/>
          <w:jc w:val="center"/>
        </w:trPr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86E01" w:rsidRPr="00F76BA5" w:rsidRDefault="00086E01" w:rsidP="00086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SUNY TRAINING AND EDUCATION IN ADVANCED MANUFACTURING (TEAM)</w:t>
            </w:r>
          </w:p>
        </w:tc>
      </w:tr>
      <w:tr w:rsidR="00086E01" w:rsidRPr="00F76BA5" w:rsidTr="00B1468A">
        <w:trPr>
          <w:trHeight w:val="700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Lead College: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Monroe Community College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  <w:t>1000 East Henrietta Road, Rochester, NY  14624</w:t>
            </w:r>
          </w:p>
        </w:tc>
      </w:tr>
      <w:tr w:rsidR="00086E01" w:rsidRPr="00F76BA5" w:rsidTr="00B1468A">
        <w:trPr>
          <w:trHeight w:val="873"/>
          <w:jc w:val="center"/>
        </w:trPr>
        <w:tc>
          <w:tcPr>
            <w:tcW w:w="2718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BA5">
              <w:rPr>
                <w:rFonts w:ascii="Arial" w:hAnsi="Arial" w:cs="Arial"/>
                <w:b/>
                <w:sz w:val="20"/>
                <w:szCs w:val="20"/>
              </w:rPr>
              <w:t>Consortium Director:</w:t>
            </w:r>
          </w:p>
        </w:tc>
        <w:tc>
          <w:tcPr>
            <w:tcW w:w="7308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>Patricia R. Williams, Director of Grants</w:t>
            </w:r>
            <w:r w:rsidRPr="00F76BA5"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F76B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pwilliams@monroecc.edu</w:t>
              </w:r>
            </w:hyperlink>
            <w:r w:rsidRPr="00F76BA5">
              <w:rPr>
                <w:rFonts w:ascii="Arial" w:hAnsi="Arial" w:cs="Arial"/>
                <w:sz w:val="20"/>
                <w:szCs w:val="20"/>
              </w:rPr>
              <w:br/>
              <w:t>585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BA5">
              <w:rPr>
                <w:rFonts w:ascii="Arial" w:hAnsi="Arial" w:cs="Arial"/>
                <w:sz w:val="20"/>
                <w:szCs w:val="20"/>
              </w:rPr>
              <w:t>0292-3026</w:t>
            </w:r>
          </w:p>
        </w:tc>
      </w:tr>
      <w:tr w:rsidR="00086E01" w:rsidRPr="00F76BA5" w:rsidTr="00B1468A">
        <w:trPr>
          <w:jc w:val="center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F76B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86E01" w:rsidRPr="00F76BA5" w:rsidRDefault="00086E01" w:rsidP="00086E01">
            <w:pPr>
              <w:rPr>
                <w:rFonts w:ascii="Arial" w:hAnsi="Arial" w:cs="Arial"/>
                <w:sz w:val="20"/>
                <w:szCs w:val="20"/>
              </w:rPr>
            </w:pPr>
            <w:r w:rsidRPr="00F76BA5">
              <w:rPr>
                <w:rFonts w:ascii="Arial" w:hAnsi="Arial" w:cs="Arial"/>
                <w:sz w:val="20"/>
                <w:szCs w:val="20"/>
              </w:rPr>
              <w:t xml:space="preserve">Advanced Manufacturing </w:t>
            </w:r>
          </w:p>
        </w:tc>
      </w:tr>
    </w:tbl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The consortium includes all 30 community colleges in the state of New York, with its focus on development and implementation of a uniform curriculum across the state.  The strategies include:</w:t>
      </w:r>
    </w:p>
    <w:p w:rsidR="00086E01" w:rsidRPr="00F76BA5" w:rsidRDefault="00086E01" w:rsidP="00086E01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one-year certificate programs;</w:t>
      </w:r>
    </w:p>
    <w:p w:rsidR="00086E01" w:rsidRPr="00F76BA5" w:rsidRDefault="00086E01" w:rsidP="00086E01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Development of standard online process for Prior Learning Assessment.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Strategies </w:t>
      </w:r>
      <w:r w:rsidRPr="00F76BA5">
        <w:rPr>
          <w:rFonts w:ascii="Arial" w:hAnsi="Arial" w:cs="Arial"/>
          <w:b/>
          <w:sz w:val="20"/>
          <w:szCs w:val="20"/>
        </w:rPr>
        <w:t>to be Scaled:</w:t>
      </w:r>
    </w:p>
    <w:p w:rsidR="00086E01" w:rsidRPr="00F76BA5" w:rsidRDefault="00086E01" w:rsidP="00086E0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 xml:space="preserve">Standardized, uniform curricula across the state system. </w:t>
      </w:r>
    </w:p>
    <w:p w:rsidR="00086E01" w:rsidRPr="00F76BA5" w:rsidRDefault="00086E01" w:rsidP="00086E01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76BA5">
        <w:rPr>
          <w:rFonts w:ascii="Arial" w:hAnsi="Arial" w:cs="Arial"/>
          <w:sz w:val="20"/>
          <w:szCs w:val="20"/>
        </w:rPr>
        <w:t>Standardized program to conduct prior learning assessment.</w:t>
      </w:r>
    </w:p>
    <w:p w:rsidR="00086E01" w:rsidRPr="00F76BA5" w:rsidRDefault="00086E01" w:rsidP="00086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78C" w:rsidRDefault="00CD06E5" w:rsidP="00086E01">
      <w:pPr>
        <w:spacing w:after="0"/>
      </w:pPr>
    </w:p>
    <w:sectPr w:rsidR="001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E5" w:rsidRDefault="00CD06E5" w:rsidP="00086E01">
      <w:pPr>
        <w:spacing w:after="0" w:line="240" w:lineRule="auto"/>
      </w:pPr>
      <w:r>
        <w:separator/>
      </w:r>
    </w:p>
  </w:endnote>
  <w:endnote w:type="continuationSeparator" w:id="0">
    <w:p w:rsidR="00CD06E5" w:rsidRDefault="00CD06E5" w:rsidP="000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548DD4" w:themeColor="text2" w:themeTint="99"/>
        <w:insideH w:val="single" w:sz="18" w:space="0" w:color="1F497D" w:themeColor="text2"/>
        <w:insideV w:val="single" w:sz="18" w:space="0" w:color="548DD4" w:themeColor="text2" w:themeTint="99"/>
      </w:tblBorders>
      <w:tblLook w:val="04A0" w:firstRow="1" w:lastRow="0" w:firstColumn="1" w:lastColumn="0" w:noHBand="0" w:noVBand="1"/>
    </w:tblPr>
    <w:tblGrid>
      <w:gridCol w:w="1082"/>
      <w:gridCol w:w="9358"/>
    </w:tblGrid>
    <w:tr w:rsidR="00086E01" w:rsidTr="00B1468A">
      <w:tc>
        <w:tcPr>
          <w:tcW w:w="918" w:type="dxa"/>
          <w:tcBorders>
            <w:top w:val="single" w:sz="18" w:space="0" w:color="31849B" w:themeColor="accent5" w:themeShade="BF"/>
            <w:bottom w:val="nil"/>
            <w:right w:val="single" w:sz="18" w:space="0" w:color="31849B" w:themeColor="accent5" w:themeShade="BF"/>
          </w:tcBorders>
        </w:tcPr>
        <w:p w:rsidR="00086E01" w:rsidRPr="000E126B" w:rsidRDefault="00086E01" w:rsidP="00B1468A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146334">
            <w:rPr>
              <w:rFonts w:ascii="Arial" w:hAnsi="Arial" w:cs="Arial"/>
              <w:sz w:val="20"/>
              <w14:shadow w14:blurRad="50800" w14:dist="38100" w14:dir="2700000" w14:sx="100000" w14:sy="100000" w14:kx="0" w14:ky="0" w14:algn="tl">
                <w14:srgbClr w14:val="000000">
                  <w14:alpha w14:val="100000"/>
                </w14:srgbClr>
              </w14:shadow>
              <w14:numForm w14:val="oldStyle"/>
            </w:rPr>
            <w:fldChar w:fldCharType="begin"/>
          </w:r>
          <w:r w:rsidRPr="00146334">
            <w:rPr>
              <w:rFonts w:ascii="Arial" w:hAnsi="Arial" w:cs="Arial"/>
              <w:sz w:val="20"/>
              <w14:shadow w14:blurRad="50800" w14:dist="38100" w14:dir="2700000" w14:sx="100000" w14:sy="100000" w14:kx="0" w14:ky="0" w14:algn="tl">
                <w14:srgbClr w14:val="000000">
                  <w14:alpha w14:val="100000"/>
                </w14:srgbClr>
              </w14:shadow>
              <w14:numForm w14:val="oldStyle"/>
            </w:rPr>
            <w:instrText xml:space="preserve"> PAGE   \* MERGEFORMAT </w:instrText>
          </w:r>
          <w:r w:rsidRPr="00146334">
            <w:rPr>
              <w:rFonts w:ascii="Arial" w:hAnsi="Arial" w:cs="Arial"/>
              <w:sz w:val="20"/>
              <w14:shadow w14:blurRad="50800" w14:dist="38100" w14:dir="2700000" w14:sx="100000" w14:sy="100000" w14:kx="0" w14:ky="0" w14:algn="tl">
                <w14:srgbClr w14:val="000000">
                  <w14:alpha w14:val="100000"/>
                </w14:srgbClr>
              </w14:shadow>
              <w14:numForm w14:val="oldStyle"/>
            </w:rPr>
            <w:fldChar w:fldCharType="separate"/>
          </w:r>
          <w:r w:rsidRPr="00086E01">
            <w:rPr>
              <w:rFonts w:ascii="Arial" w:hAnsi="Arial" w:cs="Arial"/>
              <w:b/>
              <w:bCs/>
              <w:noProof/>
              <w:sz w:val="20"/>
              <w14:shadow w14:blurRad="50800" w14:dist="38100" w14:dir="2700000" w14:sx="100000" w14:sy="100000" w14:kx="0" w14:ky="0" w14:algn="tl">
                <w14:srgbClr w14:val="000000">
                  <w14:alpha w14:val="100000"/>
                </w14:srgbClr>
              </w14:shadow>
              <w14:numForm w14:val="oldStyle"/>
            </w:rPr>
            <w:t>6</w:t>
          </w:r>
          <w:r w:rsidRPr="00146334">
            <w:rPr>
              <w:rFonts w:ascii="Arial" w:hAnsi="Arial" w:cs="Arial"/>
              <w:b/>
              <w:bCs/>
              <w:noProof/>
              <w:sz w:val="20"/>
              <w14:shadow w14:blurRad="50800" w14:dist="38100" w14:dir="2700000" w14:sx="100000" w14:sy="100000" w14:kx="0" w14:ky="0" w14:algn="tl">
                <w14:srgbClr w14:val="000000">
                  <w14:alpha w14:val="10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8" w:space="0" w:color="31849B" w:themeColor="accent5" w:themeShade="BF"/>
            <w:left w:val="single" w:sz="18" w:space="0" w:color="31849B" w:themeColor="accent5" w:themeShade="BF"/>
            <w:bottom w:val="nil"/>
          </w:tcBorders>
        </w:tcPr>
        <w:p w:rsidR="00086E01" w:rsidRDefault="00086E01" w:rsidP="00B1468A">
          <w:pPr>
            <w:pStyle w:val="Footer"/>
          </w:pPr>
        </w:p>
      </w:tc>
    </w:tr>
  </w:tbl>
  <w:p w:rsidR="00086E01" w:rsidRDefault="0008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E5" w:rsidRDefault="00CD06E5" w:rsidP="00086E01">
      <w:pPr>
        <w:spacing w:after="0" w:line="240" w:lineRule="auto"/>
      </w:pPr>
      <w:r>
        <w:separator/>
      </w:r>
    </w:p>
  </w:footnote>
  <w:footnote w:type="continuationSeparator" w:id="0">
    <w:p w:rsidR="00CD06E5" w:rsidRDefault="00CD06E5" w:rsidP="0008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0" w:rsidRPr="000F18FE" w:rsidRDefault="00CD06E5" w:rsidP="000F18FE">
    <w:pPr>
      <w:tabs>
        <w:tab w:val="right" w:pos="10080"/>
      </w:tabs>
      <w:spacing w:after="0" w:line="240" w:lineRule="auto"/>
      <w:jc w:val="center"/>
      <w:rPr>
        <w:rFonts w:ascii="Arial" w:hAnsi="Arial" w:cs="Arial"/>
        <w:b/>
        <w:sz w:val="24"/>
      </w:rPr>
    </w:pPr>
    <w:r w:rsidRPr="000F18FE">
      <w:rPr>
        <w:rFonts w:ascii="Arial" w:hAnsi="Arial" w:cs="Arial"/>
        <w:b/>
        <w:sz w:val="24"/>
      </w:rPr>
      <w:t>Community College Transformative Change Initiative</w:t>
    </w:r>
  </w:p>
  <w:p w:rsidR="008F2F70" w:rsidRPr="000F18FE" w:rsidRDefault="00CD06E5" w:rsidP="00146334">
    <w:pPr>
      <w:pBdr>
        <w:bottom w:val="single" w:sz="18" w:space="1" w:color="31849B" w:themeColor="accent5" w:themeShade="BF"/>
      </w:pBdr>
      <w:tabs>
        <w:tab w:val="right" w:pos="10080"/>
      </w:tabs>
      <w:spacing w:after="0" w:line="240" w:lineRule="auto"/>
      <w:jc w:val="center"/>
      <w:rPr>
        <w:rFonts w:ascii="Arial" w:hAnsi="Arial" w:cs="Arial"/>
        <w:b/>
        <w:sz w:val="24"/>
      </w:rPr>
    </w:pPr>
    <w:r w:rsidRPr="000F18FE">
      <w:rPr>
        <w:rFonts w:ascii="Arial" w:hAnsi="Arial" w:cs="Arial"/>
        <w:b/>
        <w:sz w:val="24"/>
      </w:rPr>
      <w:t xml:space="preserve">Round </w:t>
    </w:r>
    <w:r>
      <w:rPr>
        <w:rFonts w:ascii="Arial" w:hAnsi="Arial" w:cs="Arial"/>
        <w:b/>
        <w:sz w:val="24"/>
      </w:rPr>
      <w:t>Two</w:t>
    </w:r>
    <w:r w:rsidRPr="000F18FE">
      <w:rPr>
        <w:rFonts w:ascii="Arial" w:hAnsi="Arial" w:cs="Arial"/>
        <w:b/>
        <w:sz w:val="24"/>
      </w:rPr>
      <w:t xml:space="preserve"> TAACCCT Grant Consortia Summaries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18"/>
    <w:multiLevelType w:val="hybridMultilevel"/>
    <w:tmpl w:val="F54AB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B5DD4"/>
    <w:multiLevelType w:val="hybridMultilevel"/>
    <w:tmpl w:val="CA46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216FA"/>
    <w:multiLevelType w:val="hybridMultilevel"/>
    <w:tmpl w:val="64601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21B09"/>
    <w:multiLevelType w:val="hybridMultilevel"/>
    <w:tmpl w:val="C08A1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F0C48"/>
    <w:multiLevelType w:val="hybridMultilevel"/>
    <w:tmpl w:val="D122C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64753"/>
    <w:multiLevelType w:val="hybridMultilevel"/>
    <w:tmpl w:val="F87A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A5A03"/>
    <w:multiLevelType w:val="hybridMultilevel"/>
    <w:tmpl w:val="B9520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B5C19"/>
    <w:multiLevelType w:val="hybridMultilevel"/>
    <w:tmpl w:val="FE4C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87A13"/>
    <w:multiLevelType w:val="hybridMultilevel"/>
    <w:tmpl w:val="F1F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304CD"/>
    <w:multiLevelType w:val="hybridMultilevel"/>
    <w:tmpl w:val="DAD6E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04E40"/>
    <w:multiLevelType w:val="hybridMultilevel"/>
    <w:tmpl w:val="84F66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83F22"/>
    <w:multiLevelType w:val="hybridMultilevel"/>
    <w:tmpl w:val="9946A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67A8D"/>
    <w:multiLevelType w:val="hybridMultilevel"/>
    <w:tmpl w:val="ABFA2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E6B8E"/>
    <w:multiLevelType w:val="hybridMultilevel"/>
    <w:tmpl w:val="584CDD14"/>
    <w:lvl w:ilvl="0" w:tplc="EB524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84AA7"/>
    <w:multiLevelType w:val="hybridMultilevel"/>
    <w:tmpl w:val="3A8A4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70744C"/>
    <w:multiLevelType w:val="hybridMultilevel"/>
    <w:tmpl w:val="907A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77799A"/>
    <w:multiLevelType w:val="hybridMultilevel"/>
    <w:tmpl w:val="DC60E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C09BC"/>
    <w:multiLevelType w:val="hybridMultilevel"/>
    <w:tmpl w:val="4CAE3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5D0B24"/>
    <w:multiLevelType w:val="hybridMultilevel"/>
    <w:tmpl w:val="22C07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F466AF"/>
    <w:multiLevelType w:val="hybridMultilevel"/>
    <w:tmpl w:val="2DA22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D13B7B"/>
    <w:multiLevelType w:val="hybridMultilevel"/>
    <w:tmpl w:val="3BD4C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19"/>
  </w:num>
  <w:num w:numId="11">
    <w:abstractNumId w:val="18"/>
  </w:num>
  <w:num w:numId="12">
    <w:abstractNumId w:val="3"/>
  </w:num>
  <w:num w:numId="13">
    <w:abstractNumId w:val="16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01"/>
    <w:rsid w:val="00086E01"/>
    <w:rsid w:val="00266D6A"/>
    <w:rsid w:val="002F67FA"/>
    <w:rsid w:val="00C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6E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6E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a@tjc.edu" TargetMode="External"/><Relationship Id="rId13" Type="http://schemas.openxmlformats.org/officeDocument/2006/relationships/hyperlink" Target="mailto:rread@forsythtech.edu" TargetMode="External"/><Relationship Id="rId18" Type="http://schemas.openxmlformats.org/officeDocument/2006/relationships/hyperlink" Target="mailto:clydes@hawaii.ed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smith@athenstech.edu" TargetMode="External"/><Relationship Id="rId17" Type="http://schemas.openxmlformats.org/officeDocument/2006/relationships/hyperlink" Target="mailto:dawn.busick@mccatoda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kamps@nwtc.edu" TargetMode="External"/><Relationship Id="rId20" Type="http://schemas.openxmlformats.org/officeDocument/2006/relationships/hyperlink" Target="mailto:pwilliams@monroec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lake@Harpercollege.ed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schuste@pc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.goodman@3strellamountain.edu" TargetMode="External"/><Relationship Id="rId14" Type="http://schemas.openxmlformats.org/officeDocument/2006/relationships/hyperlink" Target="mailto:graham.gary@spcolleg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Matthew David</dc:creator>
  <cp:lastModifiedBy>Rasmussen, Matthew David</cp:lastModifiedBy>
  <cp:revision>1</cp:revision>
  <dcterms:created xsi:type="dcterms:W3CDTF">2013-07-03T17:26:00Z</dcterms:created>
  <dcterms:modified xsi:type="dcterms:W3CDTF">2013-07-03T17:41:00Z</dcterms:modified>
</cp:coreProperties>
</file>